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307590"/>
          <w:left w:val="single" w:sz="6" w:space="0" w:color="307590"/>
          <w:bottom w:val="single" w:sz="6" w:space="0" w:color="307590"/>
          <w:right w:val="single" w:sz="6" w:space="0" w:color="307590"/>
        </w:tblBorders>
        <w:shd w:val="clear" w:color="auto" w:fill="FFFFFF"/>
        <w:tblCellMar>
          <w:top w:w="15" w:type="dxa"/>
          <w:left w:w="15" w:type="dxa"/>
          <w:bottom w:w="15" w:type="dxa"/>
          <w:right w:w="15" w:type="dxa"/>
        </w:tblCellMar>
        <w:tblLook w:val="04A0"/>
      </w:tblPr>
      <w:tblGrid>
        <w:gridCol w:w="4534"/>
        <w:gridCol w:w="4706"/>
      </w:tblGrid>
      <w:tr w:rsidR="00BA7084" w:rsidRPr="00BA7084" w:rsidTr="00BA7084">
        <w:trPr>
          <w:gridAfter w:val="1"/>
          <w:wAfter w:w="6698" w:type="dxa"/>
        </w:trPr>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Olağan</w:t>
            </w:r>
          </w:p>
        </w:tc>
      </w:tr>
      <w:tr w:rsidR="00BA7084" w:rsidRPr="00BA7084" w:rsidTr="00BA7084">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Tarihi ve Saati</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 xml:space="preserve">03.04.2014 </w:t>
            </w:r>
            <w:proofErr w:type="gramStart"/>
            <w:r w:rsidRPr="00BA7084">
              <w:rPr>
                <w:rFonts w:ascii="Verdana" w:eastAsia="Times New Roman" w:hAnsi="Verdana" w:cs="Times New Roman"/>
                <w:color w:val="0D3734"/>
                <w:sz w:val="17"/>
                <w:szCs w:val="17"/>
                <w:lang w:eastAsia="tr-TR"/>
              </w:rPr>
              <w:t>09:30</w:t>
            </w:r>
            <w:proofErr w:type="gramEnd"/>
          </w:p>
        </w:tc>
      </w:tr>
      <w:tr w:rsidR="00BA7084" w:rsidRPr="00BA7084" w:rsidTr="00BA7084">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Hesap Dönemi Başlangıç Tarihi</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01.01.2013</w:t>
            </w:r>
          </w:p>
        </w:tc>
      </w:tr>
      <w:tr w:rsidR="00BA7084" w:rsidRPr="00BA7084" w:rsidTr="00BA7084">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Hesap Dönemi Bitiş Tarihi</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31.12.2013</w:t>
            </w:r>
          </w:p>
        </w:tc>
      </w:tr>
      <w:tr w:rsidR="00BA7084" w:rsidRPr="00BA7084" w:rsidTr="00BA7084">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Genel Kurul Yapıldı mı?</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Evet</w:t>
            </w:r>
          </w:p>
        </w:tc>
      </w:tr>
      <w:tr w:rsidR="00BA7084" w:rsidRPr="00BA7084" w:rsidTr="00BA7084">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Alınan Kararlar</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 xml:space="preserve">1)Divan Başkanlığı'na Orhan </w:t>
            </w:r>
            <w:proofErr w:type="spellStart"/>
            <w:r w:rsidRPr="00BA7084">
              <w:rPr>
                <w:rFonts w:ascii="Verdana" w:eastAsia="Times New Roman" w:hAnsi="Verdana" w:cs="Times New Roman"/>
                <w:color w:val="0D3734"/>
                <w:sz w:val="17"/>
                <w:szCs w:val="17"/>
                <w:lang w:eastAsia="tr-TR"/>
              </w:rPr>
              <w:t>Aksüt</w:t>
            </w:r>
            <w:proofErr w:type="spellEnd"/>
            <w:r w:rsidRPr="00BA7084">
              <w:rPr>
                <w:rFonts w:ascii="Verdana" w:eastAsia="Times New Roman" w:hAnsi="Verdana" w:cs="Times New Roman"/>
                <w:color w:val="0D3734"/>
                <w:sz w:val="17"/>
                <w:szCs w:val="17"/>
                <w:lang w:eastAsia="tr-TR"/>
              </w:rPr>
              <w:t xml:space="preserve">, </w:t>
            </w:r>
            <w:proofErr w:type="gramStart"/>
            <w:r w:rsidRPr="00BA7084">
              <w:rPr>
                <w:rFonts w:ascii="Verdana" w:eastAsia="Times New Roman" w:hAnsi="Verdana" w:cs="Times New Roman"/>
                <w:color w:val="0D3734"/>
                <w:sz w:val="17"/>
                <w:szCs w:val="17"/>
                <w:lang w:eastAsia="tr-TR"/>
              </w:rPr>
              <w:t>Katipliğe</w:t>
            </w:r>
            <w:proofErr w:type="gramEnd"/>
            <w:r w:rsidRPr="00BA7084">
              <w:rPr>
                <w:rFonts w:ascii="Verdana" w:eastAsia="Times New Roman" w:hAnsi="Verdana" w:cs="Times New Roman"/>
                <w:color w:val="0D3734"/>
                <w:sz w:val="17"/>
                <w:szCs w:val="17"/>
                <w:lang w:eastAsia="tr-TR"/>
              </w:rPr>
              <w:t xml:space="preserve"> </w:t>
            </w:r>
            <w:proofErr w:type="spellStart"/>
            <w:r w:rsidRPr="00BA7084">
              <w:rPr>
                <w:rFonts w:ascii="Verdana" w:eastAsia="Times New Roman" w:hAnsi="Verdana" w:cs="Times New Roman"/>
                <w:color w:val="0D3734"/>
                <w:sz w:val="17"/>
                <w:szCs w:val="17"/>
                <w:lang w:eastAsia="tr-TR"/>
              </w:rPr>
              <w:t>Sebahattin</w:t>
            </w:r>
            <w:proofErr w:type="spellEnd"/>
            <w:r w:rsidRPr="00BA7084">
              <w:rPr>
                <w:rFonts w:ascii="Verdana" w:eastAsia="Times New Roman" w:hAnsi="Verdana" w:cs="Times New Roman"/>
                <w:color w:val="0D3734"/>
                <w:sz w:val="17"/>
                <w:szCs w:val="17"/>
                <w:lang w:eastAsia="tr-TR"/>
              </w:rPr>
              <w:t xml:space="preserve"> Durmuş, Oy Toplayıcılığına Bülent </w:t>
            </w:r>
            <w:proofErr w:type="spellStart"/>
            <w:r w:rsidRPr="00BA7084">
              <w:rPr>
                <w:rFonts w:ascii="Verdana" w:eastAsia="Times New Roman" w:hAnsi="Verdana" w:cs="Times New Roman"/>
                <w:color w:val="0D3734"/>
                <w:sz w:val="17"/>
                <w:szCs w:val="17"/>
                <w:lang w:eastAsia="tr-TR"/>
              </w:rPr>
              <w:t>Çelikol</w:t>
            </w:r>
            <w:proofErr w:type="spellEnd"/>
            <w:r w:rsidRPr="00BA7084">
              <w:rPr>
                <w:rFonts w:ascii="Verdana" w:eastAsia="Times New Roman" w:hAnsi="Verdana" w:cs="Times New Roman"/>
                <w:color w:val="0D3734"/>
                <w:sz w:val="17"/>
                <w:szCs w:val="17"/>
                <w:lang w:eastAsia="tr-TR"/>
              </w:rPr>
              <w:t xml:space="preserve"> oy birliği ile seçildiler. Toplantı Tutanağının Başkanlık Divanı tarafından imzalanması oy birliği ile kabul edildi.</w:t>
            </w:r>
            <w:r w:rsidRPr="00BA7084">
              <w:rPr>
                <w:rFonts w:ascii="Verdana" w:eastAsia="Times New Roman" w:hAnsi="Verdana" w:cs="Times New Roman"/>
                <w:color w:val="0D3734"/>
                <w:sz w:val="17"/>
                <w:lang w:eastAsia="tr-TR"/>
              </w:rPr>
              <w:t> </w:t>
            </w:r>
            <w:r w:rsidRPr="00BA7084">
              <w:rPr>
                <w:rFonts w:ascii="Verdana" w:eastAsia="Times New Roman" w:hAnsi="Verdana" w:cs="Times New Roman"/>
                <w:color w:val="0D3734"/>
                <w:sz w:val="17"/>
                <w:szCs w:val="17"/>
                <w:lang w:eastAsia="tr-TR"/>
              </w:rPr>
              <w:br/>
              <w:t>2) Yönetim Kurulu Özet Faaliyet Raporu ve Denetçiler Raporu okundu. 2013 yılı Bilanço ve Kar Zarar Hesapları tetkik ve müzakere edilerek ittifakla kabul ve tasdik edildi.</w:t>
            </w:r>
            <w:r w:rsidRPr="00BA7084">
              <w:rPr>
                <w:rFonts w:ascii="Verdana" w:eastAsia="Times New Roman" w:hAnsi="Verdana" w:cs="Times New Roman"/>
                <w:color w:val="0D3734"/>
                <w:sz w:val="17"/>
                <w:szCs w:val="17"/>
                <w:lang w:eastAsia="tr-TR"/>
              </w:rPr>
              <w:br/>
              <w:t>3) Yönetim Kurulu üyeleri ve Denetçiler 2013 yılı faaliyetlerinden dolayı ittifakla ibra edildiler. Yönetim Kurulu üyeleri ibrada oy kullanmadılar.</w:t>
            </w:r>
            <w:r w:rsidRPr="00BA7084">
              <w:rPr>
                <w:rFonts w:ascii="Verdana" w:eastAsia="Times New Roman" w:hAnsi="Verdana" w:cs="Times New Roman"/>
                <w:color w:val="0D3734"/>
                <w:sz w:val="17"/>
                <w:szCs w:val="17"/>
                <w:lang w:eastAsia="tr-TR"/>
              </w:rPr>
              <w:br/>
              <w:t xml:space="preserve">Yönetim Kurulu üyeliklerine, 1 yıl için Ali Uğur </w:t>
            </w:r>
            <w:proofErr w:type="spellStart"/>
            <w:proofErr w:type="gramStart"/>
            <w:r w:rsidRPr="00BA7084">
              <w:rPr>
                <w:rFonts w:ascii="Verdana" w:eastAsia="Times New Roman" w:hAnsi="Verdana" w:cs="Times New Roman"/>
                <w:color w:val="0D3734"/>
                <w:sz w:val="17"/>
                <w:szCs w:val="17"/>
                <w:lang w:eastAsia="tr-TR"/>
              </w:rPr>
              <w:t>Özderici</w:t>
            </w:r>
            <w:proofErr w:type="spellEnd"/>
            <w:r w:rsidRPr="00BA7084">
              <w:rPr>
                <w:rFonts w:ascii="Verdana" w:eastAsia="Times New Roman" w:hAnsi="Verdana" w:cs="Times New Roman"/>
                <w:color w:val="0D3734"/>
                <w:sz w:val="17"/>
                <w:szCs w:val="17"/>
                <w:lang w:eastAsia="tr-TR"/>
              </w:rPr>
              <w:t xml:space="preserve"> , Ahmet</w:t>
            </w:r>
            <w:proofErr w:type="gramEnd"/>
            <w:r w:rsidRPr="00BA7084">
              <w:rPr>
                <w:rFonts w:ascii="Verdana" w:eastAsia="Times New Roman" w:hAnsi="Verdana" w:cs="Times New Roman"/>
                <w:color w:val="0D3734"/>
                <w:sz w:val="17"/>
                <w:szCs w:val="17"/>
                <w:lang w:eastAsia="tr-TR"/>
              </w:rPr>
              <w:t xml:space="preserve"> </w:t>
            </w:r>
            <w:proofErr w:type="spellStart"/>
            <w:r w:rsidRPr="00BA7084">
              <w:rPr>
                <w:rFonts w:ascii="Verdana" w:eastAsia="Times New Roman" w:hAnsi="Verdana" w:cs="Times New Roman"/>
                <w:color w:val="0D3734"/>
                <w:sz w:val="17"/>
                <w:szCs w:val="17"/>
                <w:lang w:eastAsia="tr-TR"/>
              </w:rPr>
              <w:t>Özderici</w:t>
            </w:r>
            <w:proofErr w:type="spellEnd"/>
            <w:r w:rsidRPr="00BA7084">
              <w:rPr>
                <w:rFonts w:ascii="Verdana" w:eastAsia="Times New Roman" w:hAnsi="Verdana" w:cs="Times New Roman"/>
                <w:color w:val="0D3734"/>
                <w:sz w:val="17"/>
                <w:szCs w:val="17"/>
                <w:lang w:eastAsia="tr-TR"/>
              </w:rPr>
              <w:t xml:space="preserve"> ,Meral </w:t>
            </w:r>
            <w:proofErr w:type="spellStart"/>
            <w:r w:rsidRPr="00BA7084">
              <w:rPr>
                <w:rFonts w:ascii="Verdana" w:eastAsia="Times New Roman" w:hAnsi="Verdana" w:cs="Times New Roman"/>
                <w:color w:val="0D3734"/>
                <w:sz w:val="17"/>
                <w:szCs w:val="17"/>
                <w:lang w:eastAsia="tr-TR"/>
              </w:rPr>
              <w:t>Özderici</w:t>
            </w:r>
            <w:proofErr w:type="spellEnd"/>
            <w:r w:rsidRPr="00BA7084">
              <w:rPr>
                <w:rFonts w:ascii="Verdana" w:eastAsia="Times New Roman" w:hAnsi="Verdana" w:cs="Times New Roman"/>
                <w:color w:val="0D3734"/>
                <w:sz w:val="17"/>
                <w:szCs w:val="17"/>
                <w:lang w:eastAsia="tr-TR"/>
              </w:rPr>
              <w:t xml:space="preserve"> , bağımsız üye olarak 1 yıl için, Gamze </w:t>
            </w:r>
            <w:proofErr w:type="spellStart"/>
            <w:r w:rsidRPr="00BA7084">
              <w:rPr>
                <w:rFonts w:ascii="Verdana" w:eastAsia="Times New Roman" w:hAnsi="Verdana" w:cs="Times New Roman"/>
                <w:color w:val="0D3734"/>
                <w:sz w:val="17"/>
                <w:szCs w:val="17"/>
                <w:lang w:eastAsia="tr-TR"/>
              </w:rPr>
              <w:t>Aksüt</w:t>
            </w:r>
            <w:proofErr w:type="spellEnd"/>
            <w:r w:rsidRPr="00BA7084">
              <w:rPr>
                <w:rFonts w:ascii="Verdana" w:eastAsia="Times New Roman" w:hAnsi="Verdana" w:cs="Times New Roman"/>
                <w:color w:val="0D3734"/>
                <w:sz w:val="17"/>
                <w:szCs w:val="17"/>
                <w:lang w:eastAsia="tr-TR"/>
              </w:rPr>
              <w:t xml:space="preserve"> , Bahadır Kayan , Genel Müdürlüğe 1 yıl için Ahmet </w:t>
            </w:r>
            <w:proofErr w:type="spellStart"/>
            <w:r w:rsidRPr="00BA7084">
              <w:rPr>
                <w:rFonts w:ascii="Verdana" w:eastAsia="Times New Roman" w:hAnsi="Verdana" w:cs="Times New Roman"/>
                <w:color w:val="0D3734"/>
                <w:sz w:val="17"/>
                <w:szCs w:val="17"/>
                <w:lang w:eastAsia="tr-TR"/>
              </w:rPr>
              <w:t>Özderici</w:t>
            </w:r>
            <w:proofErr w:type="spellEnd"/>
            <w:r w:rsidRPr="00BA7084">
              <w:rPr>
                <w:rFonts w:ascii="Verdana" w:eastAsia="Times New Roman" w:hAnsi="Verdana" w:cs="Times New Roman"/>
                <w:color w:val="0D3734"/>
                <w:sz w:val="17"/>
                <w:szCs w:val="17"/>
                <w:lang w:eastAsia="tr-TR"/>
              </w:rPr>
              <w:t>; denetçiliğe 1 yıl için Seher Ertem Taftalı , seçilmelerine ittifakla karar verildi.</w:t>
            </w:r>
            <w:r w:rsidRPr="00BA7084">
              <w:rPr>
                <w:rFonts w:ascii="Verdana" w:eastAsia="Times New Roman" w:hAnsi="Verdana" w:cs="Times New Roman"/>
                <w:color w:val="0D3734"/>
                <w:sz w:val="17"/>
                <w:szCs w:val="17"/>
                <w:lang w:eastAsia="tr-TR"/>
              </w:rPr>
              <w:br/>
              <w:t>Yönetim kurulu üyelerinin her birine aylık net 3.750-TL huzur hakkı ödenmesine, ittifakla karar verildi.</w:t>
            </w:r>
            <w:r w:rsidRPr="00BA7084">
              <w:rPr>
                <w:rFonts w:ascii="Verdana" w:eastAsia="Times New Roman" w:hAnsi="Verdana" w:cs="Times New Roman"/>
                <w:color w:val="0D3734"/>
                <w:sz w:val="17"/>
                <w:szCs w:val="17"/>
                <w:lang w:eastAsia="tr-TR"/>
              </w:rPr>
              <w:br/>
              <w:t xml:space="preserve">4) 2013 yılı yasal kayıtlarda </w:t>
            </w:r>
            <w:proofErr w:type="spellStart"/>
            <w:r w:rsidRPr="00BA7084">
              <w:rPr>
                <w:rFonts w:ascii="Verdana" w:eastAsia="Times New Roman" w:hAnsi="Verdana" w:cs="Times New Roman"/>
                <w:color w:val="0D3734"/>
                <w:sz w:val="17"/>
                <w:szCs w:val="17"/>
                <w:lang w:eastAsia="tr-TR"/>
              </w:rPr>
              <w:t>VUK'a</w:t>
            </w:r>
            <w:proofErr w:type="spellEnd"/>
            <w:r w:rsidRPr="00BA7084">
              <w:rPr>
                <w:rFonts w:ascii="Verdana" w:eastAsia="Times New Roman" w:hAnsi="Verdana" w:cs="Times New Roman"/>
                <w:color w:val="0D3734"/>
                <w:sz w:val="17"/>
                <w:szCs w:val="17"/>
                <w:lang w:eastAsia="tr-TR"/>
              </w:rPr>
              <w:t xml:space="preserve"> göre hazırlanmış mali tablolara istinaden 8.176.587 TL Kar Sermaye Piyasası Kurulu'na verilen, Kurul'un </w:t>
            </w:r>
            <w:proofErr w:type="gramStart"/>
            <w:r w:rsidRPr="00BA7084">
              <w:rPr>
                <w:rFonts w:ascii="Verdana" w:eastAsia="Times New Roman" w:hAnsi="Verdana" w:cs="Times New Roman"/>
                <w:color w:val="0D3734"/>
                <w:sz w:val="17"/>
                <w:szCs w:val="17"/>
                <w:lang w:eastAsia="tr-TR"/>
              </w:rPr>
              <w:t>Seri:XI</w:t>
            </w:r>
            <w:proofErr w:type="gramEnd"/>
            <w:r w:rsidRPr="00BA7084">
              <w:rPr>
                <w:rFonts w:ascii="Verdana" w:eastAsia="Times New Roman" w:hAnsi="Verdana" w:cs="Times New Roman"/>
                <w:color w:val="0D3734"/>
                <w:sz w:val="17"/>
                <w:szCs w:val="17"/>
                <w:lang w:eastAsia="tr-TR"/>
              </w:rPr>
              <w:t>, No:29 sayılı Tebliği esaslarına göre düzenlenen mali tablolarda ise, 11.034.112 TL kar çıkmış olup Şirketimiz geçmiş yıl zararımız bulunması sebebiyle karın geçmiş yıl zararlarına mahsup edilmesine, kalan kısmının diğer Yasal Yedekler hesabına aktarılmasına oy birliği ile karar verilmiştir.</w:t>
            </w:r>
            <w:r w:rsidRPr="00BA7084">
              <w:rPr>
                <w:rFonts w:ascii="Verdana" w:eastAsia="Times New Roman" w:hAnsi="Verdana" w:cs="Times New Roman"/>
                <w:color w:val="0D3734"/>
                <w:sz w:val="17"/>
                <w:lang w:eastAsia="tr-TR"/>
              </w:rPr>
              <w:t> </w:t>
            </w:r>
            <w:r w:rsidRPr="00BA7084">
              <w:rPr>
                <w:rFonts w:ascii="Verdana" w:eastAsia="Times New Roman" w:hAnsi="Verdana" w:cs="Times New Roman"/>
                <w:color w:val="0D3734"/>
                <w:sz w:val="17"/>
                <w:szCs w:val="17"/>
                <w:lang w:eastAsia="tr-TR"/>
              </w:rPr>
              <w:br/>
              <w:t xml:space="preserve">Sermaye </w:t>
            </w:r>
            <w:proofErr w:type="spellStart"/>
            <w:r w:rsidRPr="00BA7084">
              <w:rPr>
                <w:rFonts w:ascii="Verdana" w:eastAsia="Times New Roman" w:hAnsi="Verdana" w:cs="Times New Roman"/>
                <w:color w:val="0D3734"/>
                <w:sz w:val="17"/>
                <w:szCs w:val="17"/>
                <w:lang w:eastAsia="tr-TR"/>
              </w:rPr>
              <w:t>Piyasasi</w:t>
            </w:r>
            <w:proofErr w:type="spellEnd"/>
            <w:r w:rsidRPr="00BA7084">
              <w:rPr>
                <w:rFonts w:ascii="Verdana" w:eastAsia="Times New Roman" w:hAnsi="Verdana" w:cs="Times New Roman"/>
                <w:color w:val="0D3734"/>
                <w:sz w:val="17"/>
                <w:szCs w:val="17"/>
                <w:lang w:eastAsia="tr-TR"/>
              </w:rPr>
              <w:t xml:space="preserve"> Kurulu düzenlemeleri çerçevesinde, şirket'in Kar Dağıtım Politikası, hakkında bilgi verildi</w:t>
            </w:r>
            <w:r w:rsidRPr="00BA7084">
              <w:rPr>
                <w:rFonts w:ascii="Verdana" w:eastAsia="Times New Roman" w:hAnsi="Verdana" w:cs="Times New Roman"/>
                <w:color w:val="0D3734"/>
                <w:sz w:val="17"/>
                <w:szCs w:val="17"/>
                <w:lang w:eastAsia="tr-TR"/>
              </w:rPr>
              <w:br/>
              <w:t>5</w:t>
            </w:r>
            <w:proofErr w:type="gramStart"/>
            <w:r w:rsidRPr="00BA7084">
              <w:rPr>
                <w:rFonts w:ascii="Verdana" w:eastAsia="Times New Roman" w:hAnsi="Verdana" w:cs="Times New Roman"/>
                <w:color w:val="0D3734"/>
                <w:sz w:val="17"/>
                <w:szCs w:val="17"/>
                <w:lang w:eastAsia="tr-TR"/>
              </w:rPr>
              <w:t>)</w:t>
            </w:r>
            <w:proofErr w:type="gramEnd"/>
            <w:r w:rsidRPr="00BA7084">
              <w:rPr>
                <w:rFonts w:ascii="Verdana" w:eastAsia="Times New Roman" w:hAnsi="Verdana" w:cs="Times New Roman"/>
                <w:color w:val="0D3734"/>
                <w:sz w:val="17"/>
                <w:szCs w:val="17"/>
                <w:lang w:eastAsia="tr-TR"/>
              </w:rPr>
              <w:t xml:space="preserve"> Denetim Sorumlu Komitenin önerisi doğrultusunda bağımsız dış denetim firması olarak 1 yıl süre ile Anıl Yeminli Mali Müşavirlik ve Bağımsız Denetim A.Ş.'den hizmet alınması hususunda, ittifakla karar verildi.</w:t>
            </w:r>
            <w:r w:rsidRPr="00BA7084">
              <w:rPr>
                <w:rFonts w:ascii="Verdana" w:eastAsia="Times New Roman" w:hAnsi="Verdana" w:cs="Times New Roman"/>
                <w:color w:val="0D3734"/>
                <w:sz w:val="17"/>
                <w:szCs w:val="17"/>
                <w:lang w:eastAsia="tr-TR"/>
              </w:rPr>
              <w:br/>
              <w:t>6) Şirket Yönetim Kurulu Üyelerinin T.T.K.'</w:t>
            </w:r>
            <w:proofErr w:type="spellStart"/>
            <w:r w:rsidRPr="00BA7084">
              <w:rPr>
                <w:rFonts w:ascii="Verdana" w:eastAsia="Times New Roman" w:hAnsi="Verdana" w:cs="Times New Roman"/>
                <w:color w:val="0D3734"/>
                <w:sz w:val="17"/>
                <w:szCs w:val="17"/>
                <w:lang w:eastAsia="tr-TR"/>
              </w:rPr>
              <w:t>nun</w:t>
            </w:r>
            <w:proofErr w:type="spellEnd"/>
            <w:r w:rsidRPr="00BA7084">
              <w:rPr>
                <w:rFonts w:ascii="Verdana" w:eastAsia="Times New Roman" w:hAnsi="Verdana" w:cs="Times New Roman"/>
                <w:color w:val="0D3734"/>
                <w:sz w:val="17"/>
                <w:szCs w:val="17"/>
                <w:lang w:eastAsia="tr-TR"/>
              </w:rPr>
              <w:t xml:space="preserve"> 395. ve 396. maddelerinde yazılı işlem ve işlerin yapılması hususunda yetkili kılınmalarına ittifakla karar verildi.</w:t>
            </w:r>
            <w:r w:rsidRPr="00BA7084">
              <w:rPr>
                <w:rFonts w:ascii="Verdana" w:eastAsia="Times New Roman" w:hAnsi="Verdana" w:cs="Times New Roman"/>
                <w:color w:val="0D3734"/>
                <w:sz w:val="17"/>
                <w:szCs w:val="17"/>
                <w:lang w:eastAsia="tr-TR"/>
              </w:rPr>
              <w:br/>
              <w:t>7) 2013 yılında yardım ve bağış yapılmamıştır.</w:t>
            </w:r>
            <w:r w:rsidRPr="00BA7084">
              <w:rPr>
                <w:rFonts w:ascii="Verdana" w:eastAsia="Times New Roman" w:hAnsi="Verdana" w:cs="Times New Roman"/>
                <w:color w:val="0D3734"/>
                <w:sz w:val="17"/>
                <w:szCs w:val="17"/>
                <w:lang w:eastAsia="tr-TR"/>
              </w:rPr>
              <w:br/>
              <w:t xml:space="preserve">8) Dilek ve temenniler faslında söz alan olmadığından ve gündemde görüşülecek başka madde olmadığından toplantı, divan başkanı tarafından sona erdirildi. </w:t>
            </w:r>
            <w:proofErr w:type="gramStart"/>
            <w:r w:rsidRPr="00BA7084">
              <w:rPr>
                <w:rFonts w:ascii="Verdana" w:eastAsia="Times New Roman" w:hAnsi="Verdana" w:cs="Times New Roman"/>
                <w:color w:val="0D3734"/>
                <w:sz w:val="17"/>
                <w:szCs w:val="17"/>
                <w:lang w:eastAsia="tr-TR"/>
              </w:rPr>
              <w:t>03/04/2014</w:t>
            </w:r>
            <w:proofErr w:type="gramEnd"/>
          </w:p>
        </w:tc>
      </w:tr>
      <w:tr w:rsidR="00BA7084" w:rsidRPr="00BA7084" w:rsidTr="00BA7084">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 xml:space="preserve">Alınan Kararlar Arasında Ticari </w:t>
            </w:r>
            <w:proofErr w:type="spellStart"/>
            <w:r w:rsidRPr="00BA7084">
              <w:rPr>
                <w:rFonts w:ascii="Verdana" w:eastAsia="Times New Roman" w:hAnsi="Verdana" w:cs="Times New Roman"/>
                <w:color w:val="0D3734"/>
                <w:sz w:val="17"/>
                <w:szCs w:val="17"/>
                <w:lang w:eastAsia="tr-TR"/>
              </w:rPr>
              <w:t>Ünvana</w:t>
            </w:r>
            <w:proofErr w:type="spellEnd"/>
            <w:r w:rsidRPr="00BA7084">
              <w:rPr>
                <w:rFonts w:ascii="Verdana" w:eastAsia="Times New Roman" w:hAnsi="Verdana" w:cs="Times New Roman"/>
                <w:color w:val="0D3734"/>
                <w:sz w:val="17"/>
                <w:szCs w:val="17"/>
                <w:lang w:eastAsia="tr-TR"/>
              </w:rPr>
              <w:t xml:space="preserve"> İlişkin Ana Sözleşme Tadili Hususu Var mı?</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Hayır</w:t>
            </w:r>
          </w:p>
        </w:tc>
      </w:tr>
      <w:tr w:rsidR="00BA7084" w:rsidRPr="00BA7084" w:rsidTr="00BA7084">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Alınan Kararlar Arasında Faaliyet Konusuna İlişkin Ana Sözleşme Tadili Hususu Var mı?</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Hayır</w:t>
            </w:r>
          </w:p>
        </w:tc>
      </w:tr>
      <w:tr w:rsidR="00BA7084" w:rsidRPr="00BA7084" w:rsidTr="00BA7084">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Alınan Kararlar Arasında Şirket Merkezine İlişkin Ana Sözleşme Tadili Hususu Var mı?</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BA7084" w:rsidRPr="00BA7084" w:rsidRDefault="00BA7084" w:rsidP="00BA7084">
            <w:pPr>
              <w:spacing w:after="0" w:line="240" w:lineRule="auto"/>
              <w:rPr>
                <w:rFonts w:ascii="Verdana" w:eastAsia="Times New Roman" w:hAnsi="Verdana" w:cs="Times New Roman"/>
                <w:color w:val="0D3734"/>
                <w:sz w:val="17"/>
                <w:szCs w:val="17"/>
                <w:lang w:eastAsia="tr-TR"/>
              </w:rPr>
            </w:pPr>
            <w:r w:rsidRPr="00BA7084">
              <w:rPr>
                <w:rFonts w:ascii="Verdana" w:eastAsia="Times New Roman" w:hAnsi="Verdana" w:cs="Times New Roman"/>
                <w:color w:val="0D3734"/>
                <w:sz w:val="17"/>
                <w:szCs w:val="17"/>
                <w:lang w:eastAsia="tr-TR"/>
              </w:rPr>
              <w:t>Hayır</w:t>
            </w:r>
          </w:p>
        </w:tc>
      </w:tr>
    </w:tbl>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A7084"/>
    <w:rsid w:val="00330F71"/>
    <w:rsid w:val="00513708"/>
    <w:rsid w:val="005A25C4"/>
    <w:rsid w:val="007430C4"/>
    <w:rsid w:val="007B020B"/>
    <w:rsid w:val="009105AB"/>
    <w:rsid w:val="00A661B2"/>
    <w:rsid w:val="00AC4867"/>
    <w:rsid w:val="00BA7084"/>
    <w:rsid w:val="00CF375F"/>
    <w:rsid w:val="00D53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A7084"/>
  </w:style>
</w:styles>
</file>

<file path=word/webSettings.xml><?xml version="1.0" encoding="utf-8"?>
<w:webSettings xmlns:r="http://schemas.openxmlformats.org/officeDocument/2006/relationships" xmlns:w="http://schemas.openxmlformats.org/wordprocessingml/2006/main">
  <w:divs>
    <w:div w:id="2971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2014-04-03T11:45:00Z</dcterms:created>
  <dcterms:modified xsi:type="dcterms:W3CDTF">2014-04-03T11:45:00Z</dcterms:modified>
</cp:coreProperties>
</file>